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7" w:rsidRDefault="00F62857" w:rsidP="00F62857">
      <w:pPr>
        <w:rPr>
          <w:rFonts w:cs="Arial"/>
          <w:b/>
          <w:color w:val="0D0D0D" w:themeColor="text1" w:themeTint="F2"/>
          <w:sz w:val="24"/>
          <w:szCs w:val="24"/>
          <w:lang w:val="en"/>
        </w:rPr>
      </w:pPr>
      <w:r w:rsidRPr="008B1C52">
        <w:rPr>
          <w:b/>
          <w:sz w:val="24"/>
          <w:szCs w:val="24"/>
        </w:rPr>
        <w:t xml:space="preserve">Key observations and recommendations from </w:t>
      </w:r>
      <w:r w:rsidRPr="008B1C52">
        <w:rPr>
          <w:rFonts w:cs="Arial"/>
          <w:b/>
          <w:color w:val="0D0D0D" w:themeColor="text1" w:themeTint="F2"/>
          <w:sz w:val="24"/>
          <w:szCs w:val="24"/>
          <w:lang w:val="en"/>
        </w:rPr>
        <w:t>DIA workshop in October 1</w:t>
      </w:r>
      <w:r w:rsidRPr="008B1C52">
        <w:rPr>
          <w:rFonts w:cs="Arial"/>
          <w:b/>
          <w:color w:val="0D0D0D" w:themeColor="text1" w:themeTint="F2"/>
          <w:sz w:val="24"/>
          <w:szCs w:val="24"/>
          <w:vertAlign w:val="superscript"/>
          <w:lang w:val="en"/>
        </w:rPr>
        <w:t>st</w:t>
      </w:r>
      <w:r w:rsidRPr="008B1C52">
        <w:rPr>
          <w:rFonts w:cs="Arial"/>
          <w:b/>
          <w:color w:val="0D0D0D" w:themeColor="text1" w:themeTint="F2"/>
          <w:sz w:val="24"/>
          <w:szCs w:val="24"/>
          <w:lang w:val="en"/>
        </w:rPr>
        <w:t xml:space="preserve"> and 2</w:t>
      </w:r>
      <w:r w:rsidRPr="008B1C52">
        <w:rPr>
          <w:rFonts w:cs="Arial"/>
          <w:b/>
          <w:color w:val="0D0D0D" w:themeColor="text1" w:themeTint="F2"/>
          <w:sz w:val="24"/>
          <w:szCs w:val="24"/>
          <w:vertAlign w:val="superscript"/>
          <w:lang w:val="en"/>
        </w:rPr>
        <w:t>nd</w:t>
      </w:r>
      <w:r w:rsidRPr="008B1C52">
        <w:rPr>
          <w:rFonts w:cs="Arial"/>
          <w:b/>
          <w:color w:val="0D0D0D" w:themeColor="text1" w:themeTint="F2"/>
          <w:sz w:val="24"/>
          <w:szCs w:val="24"/>
          <w:lang w:val="en"/>
        </w:rPr>
        <w:t xml:space="preserve"> 2015 on Oncology Clinical Trials: Central Audit methods for Site Interpretation, Bethesda, MD</w:t>
      </w:r>
    </w:p>
    <w:p w:rsidR="00AD07F6" w:rsidRDefault="00AD07F6" w:rsidP="00F62857">
      <w:pPr>
        <w:rPr>
          <w:rFonts w:cs="Arial"/>
          <w:color w:val="0D0D0D" w:themeColor="text1" w:themeTint="F2"/>
          <w:lang w:val="en"/>
        </w:rPr>
      </w:pPr>
    </w:p>
    <w:p w:rsidR="00AD07F6" w:rsidRPr="00AD07F6" w:rsidRDefault="00AD07F6" w:rsidP="00F62857">
      <w:pPr>
        <w:rPr>
          <w:rFonts w:cs="Arial"/>
          <w:color w:val="0D0D0D" w:themeColor="text1" w:themeTint="F2"/>
          <w:lang w:val="en"/>
        </w:rPr>
      </w:pPr>
      <w:r>
        <w:rPr>
          <w:rFonts w:cs="Arial"/>
          <w:color w:val="0D0D0D" w:themeColor="text1" w:themeTint="F2"/>
          <w:lang w:val="en"/>
        </w:rPr>
        <w:t xml:space="preserve">→ </w:t>
      </w:r>
      <w:r w:rsidRPr="00AD07F6">
        <w:rPr>
          <w:rFonts w:cs="Arial"/>
          <w:color w:val="0D0D0D" w:themeColor="text1" w:themeTint="F2"/>
          <w:lang w:val="en"/>
        </w:rPr>
        <w:t xml:space="preserve">Link to </w:t>
      </w:r>
      <w:bookmarkStart w:id="0" w:name="_GoBack"/>
      <w:bookmarkEnd w:id="0"/>
      <w:r w:rsidRPr="00AD07F6">
        <w:rPr>
          <w:rFonts w:cs="Arial"/>
          <w:color w:val="0D0D0D" w:themeColor="text1" w:themeTint="F2"/>
          <w:lang w:val="en"/>
        </w:rPr>
        <w:t>meeting http://www.diaglobal.org/en/conference-listing/meetings/2015/10/central-audit-methods-for-site-image-interpretation-in-clinical-trials</w:t>
      </w:r>
    </w:p>
    <w:p w:rsidR="00F62857" w:rsidRDefault="00F62857" w:rsidP="00F62857"/>
    <w:p w:rsidR="00F62857" w:rsidRPr="00F62857" w:rsidRDefault="00F62857" w:rsidP="008B1C52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Published audit methods</w:t>
      </w:r>
      <w:r w:rsidRPr="00F62857">
        <w:rPr>
          <w:vertAlign w:val="superscript"/>
        </w:rPr>
        <w:t>1,2</w:t>
      </w:r>
    </w:p>
    <w:p w:rsidR="00F62857" w:rsidRPr="00F62857" w:rsidRDefault="008B1C52" w:rsidP="008B1C52">
      <w:pPr>
        <w:numPr>
          <w:ilvl w:val="1"/>
          <w:numId w:val="1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A</w:t>
      </w:r>
      <w:r w:rsidR="00F62857">
        <w:t>re mathematically sound but carry practical challenges</w:t>
      </w:r>
    </w:p>
    <w:p w:rsidR="00F62857" w:rsidRDefault="008B1C52" w:rsidP="008B1C52">
      <w:pPr>
        <w:numPr>
          <w:ilvl w:val="1"/>
          <w:numId w:val="1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W</w:t>
      </w:r>
      <w:r w:rsidR="00F62857">
        <w:t>ill not result in substantial savings</w:t>
      </w:r>
    </w:p>
    <w:p w:rsidR="008B1C52" w:rsidRDefault="008B1C52" w:rsidP="008B1C52">
      <w:pPr>
        <w:numPr>
          <w:ilvl w:val="1"/>
          <w:numId w:val="1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C</w:t>
      </w:r>
      <w:r w:rsidR="00F62857">
        <w:t>arry significant risks with respect to timelines/delay to market, quality, and cost</w:t>
      </w:r>
      <w:r w:rsidR="00F62857" w:rsidRPr="00F62857">
        <w:t xml:space="preserve"> </w:t>
      </w:r>
    </w:p>
    <w:p w:rsidR="00F62857" w:rsidRPr="008B1C52" w:rsidRDefault="00F62857" w:rsidP="008B1C5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textAlignment w:val="center"/>
        <w:rPr>
          <w:rFonts w:ascii="Times New Roman" w:hAnsi="Times New Roman"/>
          <w:sz w:val="24"/>
          <w:szCs w:val="24"/>
        </w:rPr>
      </w:pPr>
      <w:r>
        <w:t xml:space="preserve">Given the importance and responsibility </w:t>
      </w:r>
      <w:r w:rsidR="008B1C52">
        <w:t>for all actors in</w:t>
      </w:r>
      <w:r>
        <w:t xml:space="preserve"> clinical trials</w:t>
      </w:r>
      <w:r w:rsidR="008B1C52">
        <w:t>,</w:t>
      </w:r>
      <w:r>
        <w:t xml:space="preserve"> it is recommended to </w:t>
      </w:r>
      <w:r w:rsidR="008B1C52">
        <w:t>handle site image interpretations according to the principle of “</w:t>
      </w:r>
      <w:r>
        <w:t>trust but verify</w:t>
      </w:r>
      <w:r w:rsidR="008B1C52">
        <w:t>”</w:t>
      </w:r>
      <w:r>
        <w:t>. This could be achieved by</w:t>
      </w:r>
    </w:p>
    <w:p w:rsidR="00F62857" w:rsidRDefault="00F62857" w:rsidP="008B1C52">
      <w:pPr>
        <w:numPr>
          <w:ilvl w:val="1"/>
          <w:numId w:val="1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A novel method (to be identified)</w:t>
      </w:r>
    </w:p>
    <w:p w:rsidR="00F62857" w:rsidRDefault="00F62857" w:rsidP="008B1C52">
      <w:pPr>
        <w:numPr>
          <w:ilvl w:val="1"/>
          <w:numId w:val="1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Blinded Independent Central Read</w:t>
      </w:r>
    </w:p>
    <w:p w:rsidR="00F62857" w:rsidRDefault="00F62857" w:rsidP="008B1C52">
      <w:pPr>
        <w:numPr>
          <w:ilvl w:val="0"/>
          <w:numId w:val="1"/>
        </w:numPr>
        <w:tabs>
          <w:tab w:val="clear" w:pos="720"/>
          <w:tab w:val="num" w:pos="540"/>
        </w:tabs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While truly double blinded trials do not require central reads, the consensus among experts, including regulatory leaders, is oncology trials are rarely, if ever, completely double blinded</w:t>
      </w:r>
    </w:p>
    <w:p w:rsidR="00F62857" w:rsidRPr="00F62857" w:rsidRDefault="00F62857" w:rsidP="008B1C5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Novel methods should monitor and improve site performance</w:t>
      </w:r>
    </w:p>
    <w:p w:rsidR="00F62857" w:rsidRDefault="00F62857" w:rsidP="008B1C52">
      <w:pPr>
        <w:numPr>
          <w:ilvl w:val="1"/>
          <w:numId w:val="2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Monitor site performance</w:t>
      </w:r>
    </w:p>
    <w:p w:rsidR="00F62857" w:rsidRDefault="00F62857" w:rsidP="008B1C52">
      <w:pPr>
        <w:numPr>
          <w:ilvl w:val="2"/>
          <w:numId w:val="3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Timeliness</w:t>
      </w:r>
    </w:p>
    <w:p w:rsidR="00F62857" w:rsidRDefault="00F62857" w:rsidP="008B1C52">
      <w:pPr>
        <w:numPr>
          <w:ilvl w:val="2"/>
          <w:numId w:val="3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Traceability / auditability</w:t>
      </w:r>
    </w:p>
    <w:p w:rsidR="00F62857" w:rsidRDefault="00F62857" w:rsidP="008B1C52">
      <w:pPr>
        <w:numPr>
          <w:ilvl w:val="2"/>
          <w:numId w:val="3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Documentation of expertise</w:t>
      </w:r>
    </w:p>
    <w:p w:rsidR="00F62857" w:rsidRDefault="00F62857" w:rsidP="008B1C52">
      <w:pPr>
        <w:numPr>
          <w:ilvl w:val="2"/>
          <w:numId w:val="3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Standardization of assessments</w:t>
      </w:r>
    </w:p>
    <w:p w:rsidR="00F62857" w:rsidRDefault="00F62857" w:rsidP="008B1C52">
      <w:pPr>
        <w:numPr>
          <w:ilvl w:val="1"/>
          <w:numId w:val="2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Improve site performance</w:t>
      </w:r>
    </w:p>
    <w:p w:rsidR="00F62857" w:rsidRDefault="00F62857" w:rsidP="008B1C52">
      <w:pPr>
        <w:numPr>
          <w:ilvl w:val="2"/>
          <w:numId w:val="2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Training</w:t>
      </w:r>
    </w:p>
    <w:p w:rsidR="00F62857" w:rsidRDefault="00F62857" w:rsidP="008B1C52">
      <w:pPr>
        <w:numPr>
          <w:ilvl w:val="2"/>
          <w:numId w:val="2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Accountability</w:t>
      </w:r>
    </w:p>
    <w:p w:rsidR="00F62857" w:rsidRPr="00F62857" w:rsidRDefault="00F62857" w:rsidP="008B1C52">
      <w:pPr>
        <w:numPr>
          <w:ilvl w:val="2"/>
          <w:numId w:val="2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Process standardization</w:t>
      </w:r>
    </w:p>
    <w:p w:rsidR="00F62857" w:rsidRDefault="00F62857" w:rsidP="008B1C52">
      <w:pPr>
        <w:numPr>
          <w:ilvl w:val="0"/>
          <w:numId w:val="3"/>
        </w:numPr>
        <w:tabs>
          <w:tab w:val="clear" w:pos="720"/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Alternatives/options</w:t>
      </w:r>
    </w:p>
    <w:p w:rsidR="00F62857" w:rsidRDefault="00F62857" w:rsidP="008B1C52">
      <w:pPr>
        <w:numPr>
          <w:ilvl w:val="1"/>
          <w:numId w:val="3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Ongoing confirmation reads for eligibility</w:t>
      </w:r>
    </w:p>
    <w:p w:rsidR="00F62857" w:rsidRDefault="00F62857" w:rsidP="008B1C52">
      <w:pPr>
        <w:numPr>
          <w:ilvl w:val="1"/>
          <w:numId w:val="3"/>
        </w:numPr>
        <w:tabs>
          <w:tab w:val="num" w:pos="540"/>
        </w:tabs>
        <w:ind w:hanging="540"/>
        <w:textAlignment w:val="center"/>
        <w:rPr>
          <w:rFonts w:ascii="Times New Roman" w:hAnsi="Times New Roman"/>
          <w:sz w:val="24"/>
          <w:szCs w:val="24"/>
        </w:rPr>
      </w:pPr>
      <w:r>
        <w:t>Confirmations of PD</w:t>
      </w:r>
    </w:p>
    <w:p w:rsidR="002A1ACF" w:rsidRDefault="002A1ACF" w:rsidP="008B1C52">
      <w:pPr>
        <w:tabs>
          <w:tab w:val="num" w:pos="540"/>
        </w:tabs>
        <w:ind w:hanging="540"/>
      </w:pPr>
    </w:p>
    <w:p w:rsidR="00F62857" w:rsidRPr="005324E1" w:rsidRDefault="00F62857" w:rsidP="00F62857">
      <w:pPr>
        <w:autoSpaceDE w:val="0"/>
        <w:autoSpaceDN w:val="0"/>
        <w:adjustRightInd w:val="0"/>
        <w:jc w:val="both"/>
        <w:rPr>
          <w:rFonts w:cs="Arial"/>
          <w:color w:val="0D0D0D" w:themeColor="text1" w:themeTint="F2"/>
          <w:sz w:val="20"/>
          <w:szCs w:val="20"/>
        </w:rPr>
      </w:pPr>
      <w:r w:rsidRPr="005324E1">
        <w:rPr>
          <w:rFonts w:cs="Arial"/>
          <w:color w:val="0D0D0D" w:themeColor="text1" w:themeTint="F2"/>
          <w:sz w:val="20"/>
          <w:szCs w:val="20"/>
          <w:vertAlign w:val="superscript"/>
        </w:rPr>
        <w:t>1</w:t>
      </w:r>
      <w:r w:rsidRPr="005324E1">
        <w:rPr>
          <w:rFonts w:cs="Arial"/>
          <w:color w:val="0D0D0D" w:themeColor="text1" w:themeTint="F2"/>
          <w:sz w:val="20"/>
          <w:szCs w:val="20"/>
        </w:rPr>
        <w:t xml:space="preserve">Dodd LE, Korn EL, Freidlin B, Gray R, </w:t>
      </w:r>
      <w:proofErr w:type="spellStart"/>
      <w:r w:rsidRPr="005324E1">
        <w:rPr>
          <w:rFonts w:cs="Arial"/>
          <w:color w:val="0D0D0D" w:themeColor="text1" w:themeTint="F2"/>
          <w:sz w:val="20"/>
          <w:szCs w:val="20"/>
        </w:rPr>
        <w:t>Bhattacharaya</w:t>
      </w:r>
      <w:proofErr w:type="spellEnd"/>
      <w:r w:rsidRPr="005324E1">
        <w:rPr>
          <w:rFonts w:cs="Arial"/>
          <w:color w:val="0D0D0D" w:themeColor="text1" w:themeTint="F2"/>
          <w:sz w:val="20"/>
          <w:szCs w:val="20"/>
        </w:rPr>
        <w:t xml:space="preserve"> S. </w:t>
      </w:r>
      <w:proofErr w:type="gramStart"/>
      <w:r w:rsidRPr="005324E1">
        <w:rPr>
          <w:rFonts w:cs="Arial"/>
          <w:color w:val="0D0D0D" w:themeColor="text1" w:themeTint="F2"/>
          <w:sz w:val="20"/>
          <w:szCs w:val="20"/>
        </w:rPr>
        <w:t>An audit strategy for progression-free survival.</w:t>
      </w:r>
      <w:proofErr w:type="gramEnd"/>
      <w:r w:rsidRPr="005324E1">
        <w:rPr>
          <w:rFonts w:cs="Arial"/>
          <w:color w:val="0D0D0D" w:themeColor="text1" w:themeTint="F2"/>
          <w:sz w:val="20"/>
          <w:szCs w:val="20"/>
        </w:rPr>
        <w:t xml:space="preserve"> Biometrics 2011; 67: 1092-1099.</w:t>
      </w:r>
    </w:p>
    <w:p w:rsidR="00F62857" w:rsidRPr="005324E1" w:rsidRDefault="00F62857" w:rsidP="00F62857">
      <w:pPr>
        <w:autoSpaceDE w:val="0"/>
        <w:autoSpaceDN w:val="0"/>
        <w:adjustRightInd w:val="0"/>
        <w:jc w:val="both"/>
        <w:rPr>
          <w:rFonts w:cs="Arial"/>
          <w:color w:val="353535"/>
          <w:sz w:val="20"/>
          <w:szCs w:val="20"/>
          <w:lang w:val="en"/>
        </w:rPr>
      </w:pPr>
      <w:r w:rsidRPr="005324E1">
        <w:rPr>
          <w:rFonts w:cs="Arial"/>
          <w:sz w:val="20"/>
          <w:szCs w:val="20"/>
          <w:vertAlign w:val="superscript"/>
        </w:rPr>
        <w:t>2</w:t>
      </w:r>
      <w:r w:rsidRPr="005324E1">
        <w:rPr>
          <w:rFonts w:cs="Arial"/>
          <w:sz w:val="20"/>
          <w:szCs w:val="20"/>
        </w:rPr>
        <w:t xml:space="preserve">Amit O, </w:t>
      </w:r>
      <w:proofErr w:type="spellStart"/>
      <w:r w:rsidRPr="005324E1">
        <w:rPr>
          <w:rFonts w:cs="Arial"/>
          <w:sz w:val="20"/>
          <w:szCs w:val="20"/>
        </w:rPr>
        <w:t>Mannino</w:t>
      </w:r>
      <w:proofErr w:type="spellEnd"/>
      <w:r w:rsidRPr="005324E1">
        <w:rPr>
          <w:rFonts w:cs="Arial"/>
          <w:sz w:val="20"/>
          <w:szCs w:val="20"/>
        </w:rPr>
        <w:t xml:space="preserve"> F, Stone AM, Bushnell W, Denne J, </w:t>
      </w:r>
      <w:proofErr w:type="spellStart"/>
      <w:r w:rsidRPr="005324E1">
        <w:rPr>
          <w:rFonts w:cs="Arial"/>
          <w:sz w:val="20"/>
          <w:szCs w:val="20"/>
        </w:rPr>
        <w:t>Helterbrand</w:t>
      </w:r>
      <w:proofErr w:type="spellEnd"/>
      <w:r w:rsidRPr="005324E1">
        <w:rPr>
          <w:rFonts w:cs="Arial"/>
          <w:sz w:val="20"/>
          <w:szCs w:val="20"/>
        </w:rPr>
        <w:t xml:space="preserve"> J, Burger HU. Blinded independent central review of progression in cancer clinical trials: results from a meta-analysis. European Journal of Cancer 2011; 47: 1772-1778.</w:t>
      </w:r>
    </w:p>
    <w:p w:rsidR="00F62857" w:rsidRDefault="00F62857"/>
    <w:sectPr w:rsidR="00F6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923"/>
    <w:multiLevelType w:val="multilevel"/>
    <w:tmpl w:val="868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64484"/>
    <w:multiLevelType w:val="multilevel"/>
    <w:tmpl w:val="9350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139D1"/>
    <w:multiLevelType w:val="multilevel"/>
    <w:tmpl w:val="94D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E68FE"/>
    <w:multiLevelType w:val="multilevel"/>
    <w:tmpl w:val="4C1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7"/>
    <w:rsid w:val="001B61DE"/>
    <w:rsid w:val="002A1ACF"/>
    <w:rsid w:val="002D06CE"/>
    <w:rsid w:val="002F057B"/>
    <w:rsid w:val="008B1C52"/>
    <w:rsid w:val="00AD07F6"/>
    <w:rsid w:val="00B30B32"/>
    <w:rsid w:val="00BC6072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Annette</dc:creator>
  <cp:lastModifiedBy>Stornanti, Frank</cp:lastModifiedBy>
  <cp:revision>2</cp:revision>
  <dcterms:created xsi:type="dcterms:W3CDTF">2016-05-11T02:08:00Z</dcterms:created>
  <dcterms:modified xsi:type="dcterms:W3CDTF">2016-05-11T02:08:00Z</dcterms:modified>
</cp:coreProperties>
</file>